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8F0" w:rsidRDefault="00E218F0" w:rsidP="00A753FA">
      <w:pPr>
        <w:pStyle w:val="berschrift1"/>
      </w:pPr>
      <w:r>
        <w:t>Protokoll G</w:t>
      </w:r>
      <w:r w:rsidR="00A753FA">
        <w:t xml:space="preserve"> (</w:t>
      </w:r>
      <w:r w:rsidR="005F0AD8">
        <w:t xml:space="preserve">Glas/Beutel: </w:t>
      </w:r>
      <w:r w:rsidR="00A753FA">
        <w:t>3000 ppm)</w:t>
      </w:r>
    </w:p>
    <w:p w:rsidR="00E218F0" w:rsidRDefault="00E218F0" w:rsidP="005F0AD8">
      <w:pPr>
        <w:pStyle w:val="berschrift4"/>
        <w:numPr>
          <w:ilvl w:val="0"/>
          <w:numId w:val="0"/>
        </w:numPr>
        <w:ind w:left="795" w:hanging="435"/>
        <w:jc w:val="both"/>
      </w:pPr>
      <w:r>
        <w:t>Gas – nur Chlordioxid</w:t>
      </w:r>
    </w:p>
    <w:p w:rsidR="00E218F0" w:rsidRDefault="00E218F0" w:rsidP="00E218F0">
      <w:r>
        <w:t xml:space="preserve">Protokoll G = 10 ml CDS (0,3 % </w:t>
      </w:r>
      <w:r w:rsidRPr="00A753FA">
        <w:rPr>
          <w:highlight w:val="yellow"/>
        </w:rPr>
        <w:t>= 3.000 ppm</w:t>
      </w:r>
      <w:r>
        <w:t>)</w:t>
      </w:r>
      <w:r w:rsidR="00A753FA">
        <w:t xml:space="preserve"> </w:t>
      </w:r>
    </w:p>
    <w:p w:rsidR="00A753FA" w:rsidRDefault="00A753FA" w:rsidP="00E218F0">
      <w:bookmarkStart w:id="0" w:name="_GoBack"/>
      <w:bookmarkEnd w:id="0"/>
    </w:p>
    <w:p w:rsidR="00E218F0" w:rsidRDefault="00E218F0" w:rsidP="00A753FA">
      <w:pPr>
        <w:pStyle w:val="berschrift1"/>
        <w:numPr>
          <w:ilvl w:val="0"/>
          <w:numId w:val="9"/>
        </w:numPr>
      </w:pPr>
      <w:r>
        <w:t>Glasprotokoll</w:t>
      </w:r>
      <w:r w:rsidR="00A753FA">
        <w:t xml:space="preserve"> (</w:t>
      </w:r>
      <w:r w:rsidR="00A753FA" w:rsidRPr="00A753FA">
        <w:rPr>
          <w:highlight w:val="yellow"/>
        </w:rPr>
        <w:t>3000 ppm</w:t>
      </w:r>
      <w:r w:rsidR="005F0AD8">
        <w:t>, 6-8 ml</w:t>
      </w:r>
      <w:r w:rsidR="00A753FA">
        <w:t>)</w:t>
      </w:r>
    </w:p>
    <w:p w:rsidR="00A753FA" w:rsidRDefault="00A753FA" w:rsidP="00A753FA">
      <w:r>
        <w:t>Protokoll G (Glas‐Protokoll, für Infektionen des äußeren Ohrs und Hautbehandlungen)</w:t>
      </w:r>
    </w:p>
    <w:p w:rsidR="00A753FA" w:rsidRDefault="00A753FA" w:rsidP="00A753FA">
      <w:pPr>
        <w:pStyle w:val="berschrift4"/>
        <w:numPr>
          <w:ilvl w:val="0"/>
          <w:numId w:val="0"/>
        </w:numPr>
        <w:jc w:val="both"/>
      </w:pPr>
      <w:r w:rsidRPr="00A753FA">
        <w:t>Ziel</w:t>
      </w:r>
      <w:r>
        <w:t>:</w:t>
      </w:r>
    </w:p>
    <w:p w:rsidR="00A753FA" w:rsidRPr="00A753FA" w:rsidRDefault="00A753FA" w:rsidP="00A753FA">
      <w:r>
        <w:t>Behandlung von Infektionen der Ohrmuschel und Hauterkrankungen.</w:t>
      </w:r>
    </w:p>
    <w:p w:rsidR="00E218F0" w:rsidRDefault="00E218F0" w:rsidP="005F0AD8">
      <w:pPr>
        <w:pStyle w:val="Punktliste1"/>
      </w:pPr>
      <w:r>
        <w:t xml:space="preserve">Geben Sie 6 bis 8 ml unverdünnte CDS </w:t>
      </w:r>
      <w:r w:rsidR="00A753FA">
        <w:t>(</w:t>
      </w:r>
      <w:r w:rsidR="00A753FA" w:rsidRPr="00A753FA">
        <w:rPr>
          <w:highlight w:val="yellow"/>
        </w:rPr>
        <w:t>= 3000 ppm</w:t>
      </w:r>
      <w:r w:rsidR="00A753FA">
        <w:t xml:space="preserve">) </w:t>
      </w:r>
      <w:r>
        <w:t>in ein möglichst schmales Glas, ohne Wasser hinzuzufügen.</w:t>
      </w:r>
    </w:p>
    <w:p w:rsidR="00E218F0" w:rsidRDefault="00E218F0" w:rsidP="005F0AD8">
      <w:pPr>
        <w:pStyle w:val="Punktliste1"/>
      </w:pPr>
      <w:r>
        <w:t>Platzieren Sie die betroffene Stelle über der Glasöffnung (Das Glas sollte so schmal wie möglich</w:t>
      </w:r>
      <w:r w:rsidR="00A753FA">
        <w:t xml:space="preserve"> </w:t>
      </w:r>
      <w:r>
        <w:t>sein, damit das Gas so wenig wie möglich mit der Haut um das Ohr in Berührung kommt,</w:t>
      </w:r>
      <w:r w:rsidR="00A753FA">
        <w:t xml:space="preserve"> </w:t>
      </w:r>
      <w:r>
        <w:t>um übermäßige Reizung zu vermeiden). Die Ohrmuschel muss nicht vollständig mit dem Glas</w:t>
      </w:r>
      <w:r w:rsidR="00A753FA">
        <w:t xml:space="preserve"> </w:t>
      </w:r>
      <w:r>
        <w:t>abgedeckt werden, ein Schnapsglas reicht aus, da es hauptsächlich um den Gaseintritt ins Innere</w:t>
      </w:r>
      <w:r w:rsidR="00A753FA">
        <w:t xml:space="preserve"> </w:t>
      </w:r>
      <w:r>
        <w:t>des Ohrs geht.</w:t>
      </w:r>
    </w:p>
    <w:p w:rsidR="00E218F0" w:rsidRDefault="00E218F0" w:rsidP="005F0AD8">
      <w:pPr>
        <w:pStyle w:val="Punktliste1"/>
      </w:pPr>
      <w:r>
        <w:t>Die Exposition dauert in der Regel maximal 3 Minuten, um Reizungen zu vermeiden.</w:t>
      </w:r>
    </w:p>
    <w:p w:rsidR="00E218F0" w:rsidRDefault="00E218F0" w:rsidP="005F0AD8">
      <w:pPr>
        <w:pStyle w:val="Punktliste1"/>
      </w:pPr>
      <w:r>
        <w:t>Die Anwendung kann so oft wie nötig wiederholt werden, wobei zwischen den einzelnen</w:t>
      </w:r>
      <w:r w:rsidR="00A753FA">
        <w:t xml:space="preserve"> </w:t>
      </w:r>
      <w:r>
        <w:t>Anwendungen ein Mindestabstand von einer Stunde liegen sollte.</w:t>
      </w:r>
    </w:p>
    <w:p w:rsidR="00E218F0" w:rsidRDefault="00E218F0" w:rsidP="00E218F0">
      <w:r>
        <w:t xml:space="preserve">Dieses Protokoll ist </w:t>
      </w:r>
      <w:r w:rsidRPr="005F0AD8">
        <w:rPr>
          <w:b/>
        </w:rPr>
        <w:t xml:space="preserve">nur bei Infektionen des äußeren Ohrs </w:t>
      </w:r>
      <w:r>
        <w:t>angezeigt.</w:t>
      </w:r>
    </w:p>
    <w:p w:rsidR="00E218F0" w:rsidRDefault="00E218F0" w:rsidP="00E218F0">
      <w:r>
        <w:t>Bei Innenohrentzündungen wird empfohlen, vorzugsweise die Protokolle C und J anzuwenden</w:t>
      </w:r>
      <w:r w:rsidR="00A753FA">
        <w:t xml:space="preserve"> </w:t>
      </w:r>
      <w:r>
        <w:t>und zusätzlich für 30 Sekunden unverdünnte CDS‐Tropfen in das Ohr zu geben.</w:t>
      </w:r>
    </w:p>
    <w:p w:rsidR="00A753FA" w:rsidRDefault="00A753FA" w:rsidP="00E218F0"/>
    <w:p w:rsidR="005F0AD8" w:rsidRDefault="005F0AD8">
      <w:pPr>
        <w:rPr>
          <w:rFonts w:asciiTheme="majorHAnsi" w:eastAsia="Times New Roman" w:hAnsiTheme="majorHAnsi" w:cstheme="majorHAnsi"/>
          <w:b/>
          <w:bCs w:val="0"/>
          <w:sz w:val="40"/>
          <w:szCs w:val="28"/>
        </w:rPr>
      </w:pPr>
      <w:r>
        <w:br w:type="page"/>
      </w:r>
    </w:p>
    <w:p w:rsidR="00E218F0" w:rsidRDefault="00E218F0" w:rsidP="00A753FA">
      <w:pPr>
        <w:pStyle w:val="berschrift1"/>
      </w:pPr>
      <w:r>
        <w:lastRenderedPageBreak/>
        <w:t>B) Beutel‐Protokoll</w:t>
      </w:r>
      <w:r w:rsidR="00A753FA">
        <w:t xml:space="preserve"> (</w:t>
      </w:r>
      <w:r w:rsidR="00A753FA" w:rsidRPr="00A753FA">
        <w:rPr>
          <w:highlight w:val="yellow"/>
        </w:rPr>
        <w:t>3000 ppm</w:t>
      </w:r>
      <w:r w:rsidR="005F0AD8">
        <w:t>, 10 ml</w:t>
      </w:r>
      <w:r w:rsidR="00A753FA">
        <w:t>)</w:t>
      </w:r>
    </w:p>
    <w:p w:rsidR="00E218F0" w:rsidRDefault="00E218F0" w:rsidP="005F0AD8">
      <w:pPr>
        <w:pStyle w:val="Punktliste1"/>
      </w:pPr>
      <w:r>
        <w:t>Wird verwendet, um große Hautflächen zu behandeln, oder wenn die orale Einnahme</w:t>
      </w:r>
      <w:r w:rsidR="00A753FA">
        <w:t xml:space="preserve"> </w:t>
      </w:r>
      <w:r>
        <w:t>und/oder Bäder nicht möglich sind.</w:t>
      </w:r>
    </w:p>
    <w:p w:rsidR="00E218F0" w:rsidRDefault="00E218F0" w:rsidP="005F0AD8">
      <w:pPr>
        <w:pStyle w:val="Punktliste1"/>
      </w:pPr>
      <w:r>
        <w:t>Fügen Sie zwei große Beutel (zum Beispiel Mülltüten) zu einem großen zusammen</w:t>
      </w:r>
      <w:r w:rsidR="00A753FA">
        <w:t xml:space="preserve"> </w:t>
      </w:r>
      <w:r>
        <w:t>(Orientierung: Schlafsack), indem Sie die Beutel an der Öffnung und am Boden miteinander</w:t>
      </w:r>
      <w:r w:rsidR="00A753FA">
        <w:t xml:space="preserve"> </w:t>
      </w:r>
      <w:r>
        <w:t>verbinden. Der Körper des Patienten wird vollständig in den Beutel eingeschlossen.</w:t>
      </w:r>
      <w:r w:rsidR="00A753FA">
        <w:t xml:space="preserve"> </w:t>
      </w:r>
      <w:r>
        <w:t>Der Kopf bleibt jedoch draußen, um das Einatmen von Chlordioxid‐Gas zu vermeiden.</w:t>
      </w:r>
    </w:p>
    <w:p w:rsidR="00E218F0" w:rsidRDefault="00E218F0" w:rsidP="005F0AD8">
      <w:pPr>
        <w:pStyle w:val="Punktliste1"/>
      </w:pPr>
      <w:r>
        <w:t>Die zu behandelte Person sollte sich vor dem Betreten des Sacks entkleiden,</w:t>
      </w:r>
      <w:r w:rsidR="00A753FA">
        <w:t xml:space="preserve"> </w:t>
      </w:r>
      <w:r>
        <w:t>damit das Gas alle Bereiche der Haut erreicht. Der Patient sollte, mitsamt Beutel,</w:t>
      </w:r>
      <w:r w:rsidR="00A753FA">
        <w:t xml:space="preserve"> </w:t>
      </w:r>
      <w:r>
        <w:t>während der Behandlung auf einem Stuhl sitzen.</w:t>
      </w:r>
    </w:p>
    <w:p w:rsidR="00E218F0" w:rsidRDefault="00E218F0" w:rsidP="005F0AD8">
      <w:pPr>
        <w:pStyle w:val="Punktliste1"/>
      </w:pPr>
      <w:r>
        <w:t>Geben Sie 10 ml CDS (unverdünnt</w:t>
      </w:r>
      <w:r w:rsidR="00A753FA">
        <w:t xml:space="preserve"> </w:t>
      </w:r>
      <w:r w:rsidR="00A753FA" w:rsidRPr="00A753FA">
        <w:rPr>
          <w:highlight w:val="yellow"/>
        </w:rPr>
        <w:t>= 3000 ppm</w:t>
      </w:r>
      <w:r w:rsidR="00A753FA">
        <w:t>)</w:t>
      </w:r>
      <w:r>
        <w:t xml:space="preserve"> in einen Glas‐ oder Porzellanbehälter.</w:t>
      </w:r>
      <w:r w:rsidR="00A753FA">
        <w:t xml:space="preserve"> </w:t>
      </w:r>
      <w:r>
        <w:t>Stellen Sie den Behälter in den Beutel zwischen die Füße der Person.</w:t>
      </w:r>
    </w:p>
    <w:p w:rsidR="00E218F0" w:rsidRDefault="00E218F0" w:rsidP="00E218F0">
      <w:r>
        <w:t>Sobald die zu behandelnde Person sitzt, verschließt diese den Beutel von innen mit</w:t>
      </w:r>
      <w:r w:rsidR="00A753FA">
        <w:t xml:space="preserve"> </w:t>
      </w:r>
      <w:r>
        <w:t>ihren Händen und hält ihn maximal 5 bis 10 Minuten lang in dieser Position.</w:t>
      </w:r>
    </w:p>
    <w:p w:rsidR="00A753FA" w:rsidRDefault="00A753FA" w:rsidP="00E218F0"/>
    <w:p w:rsidR="00EE3AA5" w:rsidRDefault="00E218F0" w:rsidP="00E218F0">
      <w:r>
        <w:t>Neue Protokolle Andreas Kalcker ∙ Stand August 2025 ∙ www.andreaskalcker.com ∙ ZUM INHALTSVERZEICHNIS 14 / 47</w:t>
      </w:r>
    </w:p>
    <w:sectPr w:rsidR="00EE3AA5" w:rsidSect="00FE7760">
      <w:type w:val="continuous"/>
      <w:pgSz w:w="7656" w:h="12192"/>
      <w:pgMar w:top="964" w:right="964" w:bottom="964" w:left="964" w:header="397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A2"/>
    <w:multiLevelType w:val="multilevel"/>
    <w:tmpl w:val="55A89BE6"/>
    <w:lvl w:ilvl="0">
      <w:start w:val="1"/>
      <w:numFmt w:val="bullet"/>
      <w:pStyle w:val="Punkt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747398"/>
    <w:multiLevelType w:val="hybridMultilevel"/>
    <w:tmpl w:val="F874078A"/>
    <w:lvl w:ilvl="0" w:tplc="AE72D172">
      <w:start w:val="1"/>
      <w:numFmt w:val="bullet"/>
      <w:pStyle w:val="Punkteinzug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A061329"/>
    <w:multiLevelType w:val="multilevel"/>
    <w:tmpl w:val="70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934631"/>
    <w:multiLevelType w:val="hybridMultilevel"/>
    <w:tmpl w:val="2CAACA72"/>
    <w:lvl w:ilvl="0" w:tplc="87D2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0190"/>
    <w:multiLevelType w:val="hybridMultilevel"/>
    <w:tmpl w:val="584265A6"/>
    <w:lvl w:ilvl="0" w:tplc="5A2836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6854B19"/>
    <w:multiLevelType w:val="hybridMultilevel"/>
    <w:tmpl w:val="A46EA21A"/>
    <w:lvl w:ilvl="0" w:tplc="2DAA1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57784C"/>
    <w:multiLevelType w:val="hybridMultilevel"/>
    <w:tmpl w:val="979E09AC"/>
    <w:lvl w:ilvl="0" w:tplc="82C66CA2">
      <w:start w:val="1"/>
      <w:numFmt w:val="upperLetter"/>
      <w:pStyle w:val="berschrift4"/>
      <w:lvlText w:val="%1)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F0"/>
    <w:rsid w:val="0007601C"/>
    <w:rsid w:val="00141C24"/>
    <w:rsid w:val="00147A65"/>
    <w:rsid w:val="002B2D77"/>
    <w:rsid w:val="00317B3A"/>
    <w:rsid w:val="003A02B1"/>
    <w:rsid w:val="003E4A3C"/>
    <w:rsid w:val="003F1352"/>
    <w:rsid w:val="0053334A"/>
    <w:rsid w:val="0059356F"/>
    <w:rsid w:val="005A0C8A"/>
    <w:rsid w:val="005B3949"/>
    <w:rsid w:val="005E2B80"/>
    <w:rsid w:val="005F0AD8"/>
    <w:rsid w:val="00620F96"/>
    <w:rsid w:val="00635562"/>
    <w:rsid w:val="007056E5"/>
    <w:rsid w:val="007974B7"/>
    <w:rsid w:val="008831D6"/>
    <w:rsid w:val="0099706E"/>
    <w:rsid w:val="009D4660"/>
    <w:rsid w:val="00A753FA"/>
    <w:rsid w:val="00AD6727"/>
    <w:rsid w:val="00B95414"/>
    <w:rsid w:val="00BD3F5F"/>
    <w:rsid w:val="00CA4B46"/>
    <w:rsid w:val="00CC0C13"/>
    <w:rsid w:val="00D26C92"/>
    <w:rsid w:val="00E218F0"/>
    <w:rsid w:val="00E54996"/>
    <w:rsid w:val="00EB032A"/>
    <w:rsid w:val="00EC60FD"/>
    <w:rsid w:val="00EE3AA5"/>
    <w:rsid w:val="00F11785"/>
    <w:rsid w:val="00FB417B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3C7E"/>
  <w15:chartTrackingRefBased/>
  <w15:docId w15:val="{392C8292-7008-4ED2-946A-08606B6D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18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5562"/>
    <w:rPr>
      <w:rFonts w:eastAsiaTheme="minorEastAsi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26C92"/>
    <w:pPr>
      <w:spacing w:after="240"/>
      <w:jc w:val="center"/>
      <w:outlineLvl w:val="0"/>
    </w:pPr>
    <w:rPr>
      <w:rFonts w:asciiTheme="majorHAnsi" w:eastAsia="Times New Roman" w:hAnsiTheme="majorHAnsi" w:cstheme="majorHAnsi"/>
      <w:b/>
      <w:bCs w:val="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141C24"/>
    <w:p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olor w:val="000000"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rsid w:val="00141C24"/>
    <w:pPr>
      <w:spacing w:before="240" w:after="120"/>
      <w:jc w:val="left"/>
      <w:outlineLvl w:val="2"/>
    </w:pPr>
    <w:rPr>
      <w:rFonts w:asciiTheme="majorHAnsi" w:eastAsia="Times New Roman" w:hAnsiTheme="majorHAnsi"/>
      <w:b/>
      <w:sz w:val="22"/>
      <w:szCs w:val="27"/>
    </w:rPr>
  </w:style>
  <w:style w:type="paragraph" w:styleId="berschrift4">
    <w:name w:val="heading 4"/>
    <w:next w:val="Standard"/>
    <w:link w:val="berschrift4Zchn"/>
    <w:autoRedefine/>
    <w:uiPriority w:val="9"/>
    <w:unhideWhenUsed/>
    <w:qFormat/>
    <w:rsid w:val="00A753FA"/>
    <w:pPr>
      <w:keepNext/>
      <w:numPr>
        <w:numId w:val="9"/>
      </w:numPr>
      <w:spacing w:before="240" w:after="120"/>
      <w:jc w:val="center"/>
      <w:outlineLvl w:val="3"/>
    </w:pPr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paragraph" w:styleId="berschrift5">
    <w:name w:val="heading 5"/>
    <w:next w:val="Standard"/>
    <w:link w:val="berschrift5Zchn"/>
    <w:autoRedefine/>
    <w:uiPriority w:val="9"/>
    <w:unhideWhenUsed/>
    <w:qFormat/>
    <w:rsid w:val="0059356F"/>
    <w:pPr>
      <w:keepNext/>
      <w:keepLines/>
      <w:spacing w:before="240" w:after="120"/>
      <w:jc w:val="center"/>
      <w:outlineLvl w:val="4"/>
    </w:pPr>
    <w:rPr>
      <w:rFonts w:asciiTheme="majorHAnsi" w:eastAsia="Calibri" w:hAnsiTheme="majorHAns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92"/>
    <w:rPr>
      <w:rFonts w:asciiTheme="majorHAnsi" w:eastAsia="Times New Roman" w:hAnsiTheme="majorHAnsi" w:cstheme="majorHAnsi"/>
      <w:b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60FD"/>
    <w:pPr>
      <w:spacing w:after="200"/>
      <w:jc w:val="left"/>
      <w:outlineLvl w:val="9"/>
    </w:pPr>
    <w:rPr>
      <w:rFonts w:eastAsiaTheme="minorHAnsi"/>
      <w:b w:val="0"/>
      <w:sz w:val="24"/>
      <w:szCs w:val="22"/>
    </w:rPr>
  </w:style>
  <w:style w:type="paragraph" w:customStyle="1" w:styleId="Punktliste1">
    <w:name w:val="Punktliste 1"/>
    <w:basedOn w:val="Standard"/>
    <w:link w:val="Punktliste1Zchn"/>
    <w:autoRedefine/>
    <w:qFormat/>
    <w:rsid w:val="008831D6"/>
    <w:pPr>
      <w:numPr>
        <w:numId w:val="2"/>
      </w:numPr>
      <w:ind w:left="340" w:hanging="227"/>
    </w:pPr>
    <w:rPr>
      <w:rFonts w:eastAsia="Times New Roman"/>
      <w:color w:val="000000"/>
      <w:szCs w:val="22"/>
    </w:rPr>
  </w:style>
  <w:style w:type="character" w:customStyle="1" w:styleId="Punktliste1Zchn">
    <w:name w:val="Punktliste 1 Zchn"/>
    <w:basedOn w:val="Absatz-Standardschriftart"/>
    <w:link w:val="Punktliste1"/>
    <w:rsid w:val="008831D6"/>
    <w:rPr>
      <w:rFonts w:eastAsia="Times New Roman" w:cs="Times New Roman"/>
      <w:color w:val="000000"/>
      <w:sz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1C24"/>
    <w:rPr>
      <w:rFonts w:asciiTheme="majorHAnsi" w:eastAsia="Times New Roman" w:hAnsiTheme="majorHAnsi" w:cs="Times New Roman"/>
      <w:b/>
      <w:sz w:val="22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1C24"/>
    <w:rPr>
      <w:rFonts w:asciiTheme="majorHAnsi" w:eastAsiaTheme="majorEastAsia" w:hAnsiTheme="majorHAnsi" w:cstheme="majorBidi"/>
      <w:b/>
      <w:color w:val="000000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53FA"/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character" w:customStyle="1" w:styleId="berschrift5Zchn">
    <w:name w:val="Überschrift 5 Zchn"/>
    <w:link w:val="berschrift5"/>
    <w:uiPriority w:val="9"/>
    <w:rsid w:val="0059356F"/>
    <w:rPr>
      <w:rFonts w:asciiTheme="majorHAnsi" w:eastAsia="Calibri" w:hAnsiTheme="majorHAnsi" w:cs="Calibri"/>
      <w:b/>
      <w:color w:val="000000"/>
      <w:sz w:val="22"/>
    </w:rPr>
  </w:style>
  <w:style w:type="paragraph" w:customStyle="1" w:styleId="Punkteinzug">
    <w:name w:val="Punkteinzug"/>
    <w:basedOn w:val="Listenabsatz"/>
    <w:link w:val="PunkteinzugZchn"/>
    <w:autoRedefine/>
    <w:qFormat/>
    <w:rsid w:val="008831D6"/>
    <w:pPr>
      <w:numPr>
        <w:numId w:val="5"/>
      </w:numPr>
      <w:ind w:left="340" w:hanging="227"/>
      <w:contextualSpacing w:val="0"/>
    </w:pPr>
    <w:rPr>
      <w:rFonts w:eastAsia="Times New Roman"/>
      <w:bCs w:val="0"/>
      <w:noProof/>
      <w:color w:val="000000"/>
      <w:szCs w:val="18"/>
      <w:lang w:eastAsia="en-US"/>
      <w14:ligatures w14:val="standard"/>
    </w:rPr>
  </w:style>
  <w:style w:type="character" w:customStyle="1" w:styleId="PunkteinzugZchn">
    <w:name w:val="Punkteinzug Zchn"/>
    <w:basedOn w:val="Absatz-Standardschriftart"/>
    <w:link w:val="Punkteinzug"/>
    <w:locked/>
    <w:rsid w:val="008831D6"/>
    <w:rPr>
      <w:rFonts w:eastAsia="Times New Roman" w:cs="Times New Roman"/>
      <w:bCs w:val="0"/>
      <w:noProof/>
      <w:color w:val="000000"/>
      <w:sz w:val="20"/>
      <w:szCs w:val="18"/>
      <w14:ligatures w14:val="standard"/>
    </w:rPr>
  </w:style>
  <w:style w:type="paragraph" w:styleId="Listenabsatz">
    <w:name w:val="List Paragraph"/>
    <w:basedOn w:val="Standard"/>
    <w:uiPriority w:val="34"/>
    <w:qFormat/>
    <w:rsid w:val="0063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419E-21D1-4B02-9402-996A1FEA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2025-11-11T09:32:00Z</dcterms:created>
  <dcterms:modified xsi:type="dcterms:W3CDTF">2025-11-17T14:23:00Z</dcterms:modified>
</cp:coreProperties>
</file>