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18" w:rsidRDefault="00C46418" w:rsidP="00C46418">
      <w:pPr>
        <w:pStyle w:val="berschrift1"/>
      </w:pPr>
      <w:r>
        <w:t>Protokoll V</w:t>
      </w:r>
      <w:r>
        <w:t xml:space="preserve"> </w:t>
      </w:r>
      <w:bookmarkStart w:id="0" w:name="_GoBack"/>
      <w:r>
        <w:t>(</w:t>
      </w:r>
      <w:r>
        <w:t>Vaginalspülung</w:t>
      </w:r>
      <w:r w:rsidR="00734294">
        <w:t>, 30 ppm, 500 ml</w:t>
      </w:r>
      <w:r w:rsidR="00CE7FDA">
        <w:t>, Tassen 200 ppm</w:t>
      </w:r>
      <w:r>
        <w:t>)</w:t>
      </w:r>
      <w:bookmarkEnd w:id="0"/>
    </w:p>
    <w:p w:rsidR="00C46418" w:rsidRDefault="00C46418" w:rsidP="00C46418">
      <w:pPr>
        <w:pStyle w:val="berschrift4"/>
      </w:pPr>
      <w:r>
        <w:t>Ziel:</w:t>
      </w:r>
    </w:p>
    <w:p w:rsidR="00C46418" w:rsidRDefault="00C46418" w:rsidP="00C46418">
      <w:r>
        <w:t>• Das Protokoll V (Vaginalprotokoll) eignet sich besonders für die Behandlung</w:t>
      </w:r>
      <w:r w:rsidR="00F71F7F">
        <w:t xml:space="preserve"> </w:t>
      </w:r>
      <w:r>
        <w:t xml:space="preserve">von Problemen im weiblichen Genitalbereich wie </w:t>
      </w:r>
      <w:r w:rsidRPr="00F71F7F">
        <w:rPr>
          <w:b/>
        </w:rPr>
        <w:t>Candidose, Mykose, Polypen,</w:t>
      </w:r>
      <w:r w:rsidR="00F71F7F" w:rsidRPr="00F71F7F">
        <w:rPr>
          <w:b/>
        </w:rPr>
        <w:t xml:space="preserve"> </w:t>
      </w:r>
      <w:r w:rsidRPr="00F71F7F">
        <w:rPr>
          <w:b/>
        </w:rPr>
        <w:t>Gebärmutterhalskrebs, Myome, Blasenentzündungen, HPV sowie anderen</w:t>
      </w:r>
      <w:r w:rsidR="00F71F7F" w:rsidRPr="00F71F7F">
        <w:rPr>
          <w:b/>
        </w:rPr>
        <w:t xml:space="preserve"> </w:t>
      </w:r>
      <w:r w:rsidRPr="00F71F7F">
        <w:rPr>
          <w:b/>
        </w:rPr>
        <w:t>sexuell übertragbaren Krankheiten oder Nierenproblemen</w:t>
      </w:r>
      <w:r>
        <w:t>.</w:t>
      </w:r>
    </w:p>
    <w:p w:rsidR="00C46418" w:rsidRDefault="00C46418" w:rsidP="00C46418">
      <w:r>
        <w:t xml:space="preserve">• Es kann auch als </w:t>
      </w:r>
      <w:r w:rsidRPr="00F71F7F">
        <w:rPr>
          <w:b/>
        </w:rPr>
        <w:t>Empfängnisverhütungsmittel</w:t>
      </w:r>
      <w:r>
        <w:t xml:space="preserve"> dienen, wenn es innerhalb von 20 </w:t>
      </w:r>
      <w:r w:rsidR="00F71F7F">
        <w:t>M</w:t>
      </w:r>
      <w:r>
        <w:t>in</w:t>
      </w:r>
      <w:r w:rsidR="00F71F7F">
        <w:t xml:space="preserve">uten </w:t>
      </w:r>
      <w:r>
        <w:t>nach dem Geschlechtsverkehr angewendet wird, da es die Spermien unbeweglich</w:t>
      </w:r>
      <w:r w:rsidR="00F71F7F">
        <w:t xml:space="preserve"> </w:t>
      </w:r>
      <w:r>
        <w:t xml:space="preserve">macht und so eine Empfängnis verhindert (siehe </w:t>
      </w:r>
      <w:hyperlink r:id="rId5" w:history="1">
        <w:r w:rsidRPr="00F71F7F">
          <w:rPr>
            <w:rStyle w:val="Hyperlink"/>
          </w:rPr>
          <w:t>Protokoll X</w:t>
        </w:r>
      </w:hyperlink>
      <w:r>
        <w:t>).</w:t>
      </w:r>
    </w:p>
    <w:p w:rsidR="00C46418" w:rsidRDefault="00C46418" w:rsidP="00C46418">
      <w:r>
        <w:t>Für dieses Protokoll gibt es drei Methoden:</w:t>
      </w:r>
    </w:p>
    <w:p w:rsidR="00C46418" w:rsidRDefault="00C46418" w:rsidP="00F71F7F">
      <w:pPr>
        <w:pStyle w:val="berschrift4"/>
      </w:pPr>
      <w:r>
        <w:t>Vaginalspülung mit Irrigator:</w:t>
      </w:r>
      <w:r w:rsidR="00F71F7F">
        <w:t xml:space="preserve"> 30 ppm, 500 ml</w:t>
      </w:r>
    </w:p>
    <w:p w:rsidR="00C46418" w:rsidRDefault="00C46418" w:rsidP="00C46418">
      <w:r>
        <w:t>‐ Mischen Sie 5 ml CDS (3.000 ppm) mit 500 ml Wasser (Raumtemperatur oder warmes Wasser)</w:t>
      </w:r>
      <w:r w:rsidR="00F71F7F">
        <w:t xml:space="preserve"> (</w:t>
      </w:r>
      <w:r w:rsidR="00F71F7F" w:rsidRPr="00F71F7F">
        <w:rPr>
          <w:highlight w:val="yellow"/>
        </w:rPr>
        <w:t>= 30 ppm</w:t>
      </w:r>
      <w:r w:rsidR="00F71F7F">
        <w:t>)</w:t>
      </w:r>
    </w:p>
    <w:p w:rsidR="00C46418" w:rsidRDefault="00C46418" w:rsidP="00C46418">
      <w:r>
        <w:t>‐ Sie können eine Vaginaldusche aus der Apotheke verwenden, um die Spülung durchzuführen.</w:t>
      </w:r>
    </w:p>
    <w:p w:rsidR="00C46418" w:rsidRDefault="00C46418" w:rsidP="00F71F7F">
      <w:pPr>
        <w:pStyle w:val="berschrift4"/>
      </w:pPr>
      <w:r>
        <w:t>Vaginaldusche mit durchsichtiger Plastikflasche (</w:t>
      </w:r>
      <w:r w:rsidR="00F71F7F">
        <w:t xml:space="preserve">30 ppm, </w:t>
      </w:r>
      <w:r>
        <w:t>500 ml):</w:t>
      </w:r>
    </w:p>
    <w:p w:rsidR="00C46418" w:rsidRDefault="00C46418" w:rsidP="00C46418">
      <w:r>
        <w:t>Befüllen Sie eine saubere, durchsichtige Plastikflasche mit einer Mischung aus 5 ml CDS</w:t>
      </w:r>
      <w:r w:rsidR="00F71F7F">
        <w:t xml:space="preserve"> </w:t>
      </w:r>
      <w:r>
        <w:t>(3.000 ppm) und 500 ml Wasser</w:t>
      </w:r>
      <w:proofErr w:type="gramStart"/>
      <w:r>
        <w:t>.</w:t>
      </w:r>
      <w:r w:rsidR="00F71F7F">
        <w:t xml:space="preserve"> </w:t>
      </w:r>
      <w:r w:rsidR="00F71F7F">
        <w:t>)</w:t>
      </w:r>
      <w:proofErr w:type="gramEnd"/>
      <w:r w:rsidR="00F71F7F">
        <w:t xml:space="preserve"> (</w:t>
      </w:r>
      <w:r w:rsidR="00F71F7F" w:rsidRPr="00F71F7F">
        <w:rPr>
          <w:highlight w:val="yellow"/>
        </w:rPr>
        <w:t>= 30 ppm</w:t>
      </w:r>
      <w:r w:rsidR="00F71F7F">
        <w:t>)</w:t>
      </w:r>
    </w:p>
    <w:p w:rsidR="00C46418" w:rsidRDefault="00C46418" w:rsidP="00F71F7F">
      <w:pPr>
        <w:pStyle w:val="berschrift4"/>
      </w:pPr>
      <w:r>
        <w:t>Menstruationstasse</w:t>
      </w:r>
      <w:r w:rsidR="000D29A4">
        <w:t xml:space="preserve"> (200 -225 </w:t>
      </w:r>
      <w:proofErr w:type="gramStart"/>
      <w:r w:rsidR="000D29A4">
        <w:t>ppm )</w:t>
      </w:r>
      <w:proofErr w:type="gramEnd"/>
      <w:r>
        <w:t>:</w:t>
      </w:r>
    </w:p>
    <w:p w:rsidR="00C46418" w:rsidRDefault="00C46418" w:rsidP="00C46418">
      <w:r>
        <w:t xml:space="preserve">Eine weitere wirksame Methode ist die Verwendung einer Menstruationstasse </w:t>
      </w:r>
      <w:r w:rsidR="00F71F7F">
        <w:t>(1</w:t>
      </w:r>
      <w:r w:rsidR="000D29A4">
        <w:t>5 –ca. 40ml</w:t>
      </w:r>
      <w:r w:rsidR="00F71F7F">
        <w:t xml:space="preserve">) </w:t>
      </w:r>
      <w:r>
        <w:t>mit bis zu 1‐3 ml</w:t>
      </w:r>
      <w:r w:rsidR="00F71F7F">
        <w:t xml:space="preserve"> </w:t>
      </w:r>
      <w:r>
        <w:t>CDS (3.000 ppm) für die Dauer von 2 Stunden. Im Fall von Myomen würde nach einiger Zeit</w:t>
      </w:r>
      <w:r w:rsidR="00F71F7F">
        <w:t xml:space="preserve"> </w:t>
      </w:r>
      <w:r>
        <w:t>eine Ausscheidung erfolgen sowie die Endometriose abklingen.</w:t>
      </w:r>
    </w:p>
    <w:p w:rsidR="00734294" w:rsidRPr="00734294" w:rsidRDefault="00734294" w:rsidP="00734294">
      <w:pPr>
        <w:pStyle w:val="StandardWeb"/>
        <w:rPr>
          <w:sz w:val="20"/>
          <w:szCs w:val="20"/>
        </w:rPr>
      </w:pPr>
      <w:r w:rsidRPr="00734294">
        <w:rPr>
          <w:sz w:val="20"/>
          <w:szCs w:val="20"/>
        </w:rPr>
        <w:t>T</w:t>
      </w:r>
      <w:r w:rsidRPr="00734294">
        <w:rPr>
          <w:sz w:val="20"/>
          <w:szCs w:val="20"/>
        </w:rPr>
        <w:t>ypische Größen</w:t>
      </w:r>
      <w:r>
        <w:rPr>
          <w:sz w:val="20"/>
          <w:szCs w:val="20"/>
        </w:rPr>
        <w:t xml:space="preserve"> lt. ChatGPT</w:t>
      </w:r>
      <w:r w:rsidRPr="00734294">
        <w:rPr>
          <w:sz w:val="20"/>
          <w:szCs w:val="20"/>
        </w:rPr>
        <w:t>:</w:t>
      </w:r>
    </w:p>
    <w:p w:rsidR="00734294" w:rsidRPr="00734294" w:rsidRDefault="00734294" w:rsidP="00734294">
      <w:pPr>
        <w:pStyle w:val="StandardWeb"/>
        <w:numPr>
          <w:ilvl w:val="0"/>
          <w:numId w:val="9"/>
        </w:numPr>
        <w:rPr>
          <w:sz w:val="20"/>
          <w:szCs w:val="20"/>
        </w:rPr>
      </w:pPr>
      <w:r w:rsidRPr="00734294">
        <w:rPr>
          <w:rStyle w:val="Fett"/>
          <w:b w:val="0"/>
          <w:sz w:val="20"/>
          <w:szCs w:val="20"/>
        </w:rPr>
        <w:t>Kleinere Tassen:</w:t>
      </w:r>
      <w:r w:rsidRPr="00734294">
        <w:rPr>
          <w:sz w:val="20"/>
          <w:szCs w:val="20"/>
        </w:rPr>
        <w:t xml:space="preserve"> ca. </w:t>
      </w:r>
      <w:r w:rsidRPr="00734294">
        <w:rPr>
          <w:rStyle w:val="Fett"/>
          <w:b w:val="0"/>
          <w:sz w:val="20"/>
          <w:szCs w:val="20"/>
        </w:rPr>
        <w:t>15–20 ml</w:t>
      </w:r>
    </w:p>
    <w:p w:rsidR="00734294" w:rsidRPr="00734294" w:rsidRDefault="00734294" w:rsidP="00734294">
      <w:pPr>
        <w:pStyle w:val="StandardWeb"/>
        <w:numPr>
          <w:ilvl w:val="0"/>
          <w:numId w:val="9"/>
        </w:numPr>
        <w:rPr>
          <w:sz w:val="20"/>
          <w:szCs w:val="20"/>
        </w:rPr>
      </w:pPr>
      <w:r w:rsidRPr="00734294">
        <w:rPr>
          <w:rStyle w:val="Fett"/>
          <w:b w:val="0"/>
          <w:sz w:val="20"/>
          <w:szCs w:val="20"/>
        </w:rPr>
        <w:t>Standard-/größere Tassen:</w:t>
      </w:r>
      <w:r w:rsidRPr="00734294">
        <w:rPr>
          <w:sz w:val="20"/>
          <w:szCs w:val="20"/>
        </w:rPr>
        <w:t xml:space="preserve"> ca. </w:t>
      </w:r>
      <w:r w:rsidRPr="00734294">
        <w:rPr>
          <w:rStyle w:val="Fett"/>
          <w:b w:val="0"/>
          <w:sz w:val="20"/>
          <w:szCs w:val="20"/>
        </w:rPr>
        <w:t>25–30 ml</w:t>
      </w:r>
    </w:p>
    <w:p w:rsidR="00734294" w:rsidRPr="00734294" w:rsidRDefault="00734294" w:rsidP="00734294">
      <w:pPr>
        <w:pStyle w:val="StandardWeb"/>
        <w:numPr>
          <w:ilvl w:val="0"/>
          <w:numId w:val="9"/>
        </w:numPr>
        <w:rPr>
          <w:sz w:val="20"/>
          <w:szCs w:val="20"/>
        </w:rPr>
      </w:pPr>
      <w:r w:rsidRPr="00734294">
        <w:rPr>
          <w:rStyle w:val="Fett"/>
          <w:b w:val="0"/>
          <w:sz w:val="20"/>
          <w:szCs w:val="20"/>
        </w:rPr>
        <w:t>High-capacity Tassen:</w:t>
      </w:r>
      <w:r w:rsidRPr="00734294">
        <w:rPr>
          <w:sz w:val="20"/>
          <w:szCs w:val="20"/>
        </w:rPr>
        <w:t xml:space="preserve"> teilweise </w:t>
      </w:r>
      <w:r w:rsidRPr="00734294">
        <w:rPr>
          <w:rStyle w:val="Fett"/>
          <w:b w:val="0"/>
          <w:sz w:val="20"/>
          <w:szCs w:val="20"/>
        </w:rPr>
        <w:t>bis zu 35–40 ml</w:t>
      </w:r>
    </w:p>
    <w:p w:rsidR="00C46418" w:rsidRDefault="00C46418" w:rsidP="00F71F7F">
      <w:pPr>
        <w:pStyle w:val="berschrift5"/>
      </w:pPr>
      <w:r>
        <w:lastRenderedPageBreak/>
        <w:t>Vorgehensweise:</w:t>
      </w:r>
    </w:p>
    <w:p w:rsidR="00C46418" w:rsidRDefault="00C46418" w:rsidP="00C46418">
      <w:r>
        <w:t>• Setzen Sie sich in die Badewanne und führen Sie die Flüssigkeit mit der</w:t>
      </w:r>
      <w:r w:rsidR="00F71F7F">
        <w:t xml:space="preserve"> </w:t>
      </w:r>
      <w:r>
        <w:t>Vaginaldusche oder der Plastikflasche vorsichtig in die Scheide ein.</w:t>
      </w:r>
    </w:p>
    <w:p w:rsidR="00C46418" w:rsidRDefault="00C46418" w:rsidP="00C46418">
      <w:r>
        <w:t>• Versuchen Sie, die Flüssigkeit etwa 3‐5 Minuten lang in der Scheide zu halten.</w:t>
      </w:r>
    </w:p>
    <w:p w:rsidR="00C46418" w:rsidRDefault="00C46418" w:rsidP="00C46418">
      <w:r>
        <w:t>Sie können den Vorgang bei Bedarf oder auf Anweisung Ihres Arztes wiederholen.</w:t>
      </w:r>
    </w:p>
    <w:p w:rsidR="00C46418" w:rsidRDefault="00C46418" w:rsidP="00C46418">
      <w:r>
        <w:t>• Wenn Sie eine Plastikflasche verwenden, sollte diese so lang und schmal</w:t>
      </w:r>
      <w:r w:rsidR="00F71F7F">
        <w:t xml:space="preserve"> </w:t>
      </w:r>
      <w:r>
        <w:t>wie möglich sein, um das Einführen zu erleichtern. Des Weiteren sollte man</w:t>
      </w:r>
      <w:r w:rsidR="00F71F7F">
        <w:t xml:space="preserve"> </w:t>
      </w:r>
      <w:r>
        <w:t>eine Wechselspülung rein und raus anwenden. Sie können dann den Inhalt</w:t>
      </w:r>
      <w:r w:rsidR="00F71F7F">
        <w:t xml:space="preserve"> </w:t>
      </w:r>
      <w:r>
        <w:t>der Flasche nach der Verwendung auf Infektionen oder Anomalien untersuchen.</w:t>
      </w:r>
    </w:p>
    <w:p w:rsidR="00C46418" w:rsidRDefault="00C46418" w:rsidP="00F71F7F">
      <w:pPr>
        <w:pStyle w:val="berschrift5"/>
      </w:pPr>
      <w:r>
        <w:t>Vorsichtsmaßnahmen:</w:t>
      </w:r>
    </w:p>
    <w:p w:rsidR="00C46418" w:rsidRDefault="00C46418" w:rsidP="00C46418">
      <w:r>
        <w:t>• Vermeiden Sie das Eindringen von Luft während der Anwendung.</w:t>
      </w:r>
    </w:p>
    <w:p w:rsidR="00C46418" w:rsidRDefault="00C46418" w:rsidP="00C46418">
      <w:r>
        <w:t>• Verwenden Sie sauberes, körperwarmes Trinkwasser.</w:t>
      </w:r>
    </w:p>
    <w:p w:rsidR="00C46418" w:rsidRDefault="00C46418" w:rsidP="00C46418">
      <w:r>
        <w:t>• Keine Behandlung bei Frauen, die vor kurzem operiert wurden oder vor mehr</w:t>
      </w:r>
      <w:r w:rsidR="00F71F7F">
        <w:t xml:space="preserve"> </w:t>
      </w:r>
      <w:r>
        <w:t>oder weniger kurzer Zeit entbunden haben. Es sollten mindestens 40 Tage</w:t>
      </w:r>
      <w:r w:rsidR="00F71F7F">
        <w:t xml:space="preserve"> </w:t>
      </w:r>
      <w:r>
        <w:t>zwischen der Geburt oder der OP und der Behandlung vergehen.</w:t>
      </w:r>
    </w:p>
    <w:p w:rsidR="00F71F7F" w:rsidRDefault="00F71F7F" w:rsidP="00C46418"/>
    <w:p w:rsidR="00F71F7F" w:rsidRDefault="00F71F7F" w:rsidP="00C46418"/>
    <w:p w:rsidR="00EE3AA5" w:rsidRDefault="00C46418" w:rsidP="00C46418">
      <w:r>
        <w:t>Neue Protokolle Andreas Kalcker ∙ Stand August 2025 ∙ www.andreaskalcker.com ∙ ZUM INHALTSVERZEICHNIS 31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C9106A"/>
    <w:multiLevelType w:val="multilevel"/>
    <w:tmpl w:val="C3D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18"/>
    <w:rsid w:val="0007601C"/>
    <w:rsid w:val="000D29A4"/>
    <w:rsid w:val="00141C24"/>
    <w:rsid w:val="00147A65"/>
    <w:rsid w:val="002B2D77"/>
    <w:rsid w:val="00317B3A"/>
    <w:rsid w:val="003A02B1"/>
    <w:rsid w:val="003E4A3C"/>
    <w:rsid w:val="003F1352"/>
    <w:rsid w:val="0053334A"/>
    <w:rsid w:val="005A0C8A"/>
    <w:rsid w:val="005B3949"/>
    <w:rsid w:val="005E2B80"/>
    <w:rsid w:val="00620F96"/>
    <w:rsid w:val="00635562"/>
    <w:rsid w:val="007056E5"/>
    <w:rsid w:val="00734294"/>
    <w:rsid w:val="007974B7"/>
    <w:rsid w:val="008831D6"/>
    <w:rsid w:val="0099706E"/>
    <w:rsid w:val="009D4660"/>
    <w:rsid w:val="00AD6727"/>
    <w:rsid w:val="00B27B5E"/>
    <w:rsid w:val="00B95414"/>
    <w:rsid w:val="00BD3F5F"/>
    <w:rsid w:val="00C46418"/>
    <w:rsid w:val="00CA4B46"/>
    <w:rsid w:val="00CC0C13"/>
    <w:rsid w:val="00CE7FDA"/>
    <w:rsid w:val="00D26C92"/>
    <w:rsid w:val="00E54996"/>
    <w:rsid w:val="00EB032A"/>
    <w:rsid w:val="00EC60FD"/>
    <w:rsid w:val="00EE3AA5"/>
    <w:rsid w:val="00F11785"/>
    <w:rsid w:val="00F71F7F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536A"/>
  <w15:chartTrackingRefBased/>
  <w15:docId w15:val="{2A9D720E-E939-4547-BAB9-FB6324EC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635562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635562"/>
    <w:rPr>
      <w:rFonts w:asciiTheme="majorHAnsi" w:eastAsia="Calibri" w:hAnsiTheme="majorHAnsi" w:cs="Calibri"/>
      <w:b/>
      <w:color w:val="000000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1F7F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34294"/>
    <w:pPr>
      <w:spacing w:before="100" w:beforeAutospacing="1" w:after="100" w:afterAutospacing="1"/>
      <w:jc w:val="left"/>
    </w:pPr>
    <w:rPr>
      <w:rFonts w:eastAsia="Times New Roman"/>
      <w:bCs w:val="0"/>
      <w:sz w:val="24"/>
    </w:rPr>
  </w:style>
  <w:style w:type="character" w:styleId="Fett">
    <w:name w:val="Strong"/>
    <w:basedOn w:val="Absatz-Standardschriftart"/>
    <w:uiPriority w:val="22"/>
    <w:qFormat/>
    <w:rsid w:val="0073429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cdl\X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2025-11-17T13:31:00Z</dcterms:created>
  <dcterms:modified xsi:type="dcterms:W3CDTF">2025-11-17T15:38:00Z</dcterms:modified>
</cp:coreProperties>
</file>